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8" w:rsidRDefault="00CD26C8" w:rsidP="00850C39">
      <w:pPr>
        <w:tabs>
          <w:tab w:val="left" w:pos="5040"/>
        </w:tabs>
        <w:jc w:val="both"/>
        <w:rPr>
          <w:rFonts w:ascii="Arial" w:hAnsi="Arial" w:cs="Arial"/>
          <w:b/>
          <w:color w:val="FF00FF"/>
          <w:sz w:val="22"/>
          <w:szCs w:val="22"/>
        </w:rPr>
      </w:pPr>
      <w:bookmarkStart w:id="0" w:name="_Hlk525722525"/>
      <w:bookmarkEnd w:id="0"/>
    </w:p>
    <w:p w:rsidR="00923EC0" w:rsidRDefault="00923EC0" w:rsidP="00850C39">
      <w:pPr>
        <w:tabs>
          <w:tab w:val="left" w:pos="5040"/>
        </w:tabs>
        <w:jc w:val="both"/>
        <w:rPr>
          <w:rFonts w:ascii="Arial" w:hAnsi="Arial" w:cs="Arial"/>
          <w:b/>
          <w:color w:val="FF00FF"/>
          <w:sz w:val="22"/>
          <w:szCs w:val="22"/>
        </w:rPr>
      </w:pPr>
    </w:p>
    <w:p w:rsidR="00BD7F7C" w:rsidRDefault="00BD7F7C" w:rsidP="00850C39">
      <w:pPr>
        <w:tabs>
          <w:tab w:val="left" w:pos="5040"/>
        </w:tabs>
        <w:jc w:val="both"/>
        <w:rPr>
          <w:rFonts w:ascii="Arial" w:hAnsi="Arial" w:cs="Arial"/>
          <w:b/>
          <w:color w:val="FF00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-935355</wp:posOffset>
            </wp:positionV>
            <wp:extent cx="1725930" cy="219964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-81915</wp:posOffset>
            </wp:positionV>
            <wp:extent cx="1771650" cy="200025"/>
            <wp:effectExtent l="0" t="0" r="0" b="9525"/>
            <wp:wrapNone/>
            <wp:docPr id="1" name="Image 1" descr="texte CENTURY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e CENTURY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F7C" w:rsidRPr="00233A9B" w:rsidRDefault="00BD7F7C" w:rsidP="00BD7F7C">
      <w:pPr>
        <w:tabs>
          <w:tab w:val="left" w:pos="5040"/>
        </w:tabs>
        <w:ind w:left="-709"/>
        <w:jc w:val="both"/>
        <w:rPr>
          <w:rFonts w:ascii="Arial" w:hAnsi="Arial" w:cs="Arial"/>
          <w:color w:val="BEAF87"/>
        </w:rPr>
      </w:pPr>
      <w:r>
        <w:rPr>
          <w:rFonts w:ascii="Arial" w:hAnsi="Arial" w:cs="Arial"/>
          <w:color w:val="BEAF87"/>
        </w:rPr>
        <w:t xml:space="preserve">Agence du </w:t>
      </w:r>
      <w:proofErr w:type="spellStart"/>
      <w:r>
        <w:rPr>
          <w:rFonts w:ascii="Arial" w:hAnsi="Arial" w:cs="Arial"/>
          <w:color w:val="BEAF87"/>
        </w:rPr>
        <w:t>Centre Ville</w:t>
      </w:r>
      <w:proofErr w:type="spellEnd"/>
      <w:r w:rsidRPr="00233A9B">
        <w:rPr>
          <w:rFonts w:ascii="Arial" w:hAnsi="Arial" w:cs="Arial"/>
          <w:color w:val="BEAF87"/>
        </w:rPr>
        <w:tab/>
      </w:r>
      <w:r w:rsidRPr="00233A9B">
        <w:rPr>
          <w:rFonts w:ascii="Arial" w:hAnsi="Arial" w:cs="Arial"/>
          <w:color w:val="BEAF87"/>
        </w:rPr>
        <w:tab/>
      </w:r>
    </w:p>
    <w:p w:rsidR="00850C39" w:rsidRDefault="00850C39" w:rsidP="00BD7F7C">
      <w:pPr>
        <w:tabs>
          <w:tab w:val="left" w:pos="5040"/>
        </w:tabs>
        <w:spacing w:before="40" w:after="40"/>
        <w:ind w:left="-720"/>
        <w:jc w:val="both"/>
        <w:rPr>
          <w:rFonts w:ascii="Arial" w:hAnsi="Arial" w:cs="Arial"/>
          <w:b/>
          <w:color w:val="FF00FF"/>
          <w:sz w:val="18"/>
          <w:szCs w:val="18"/>
        </w:rPr>
      </w:pPr>
    </w:p>
    <w:p w:rsidR="00850C39" w:rsidRDefault="00850C39" w:rsidP="00BD7F7C">
      <w:pPr>
        <w:tabs>
          <w:tab w:val="left" w:pos="5040"/>
        </w:tabs>
        <w:spacing w:before="40" w:after="40"/>
        <w:ind w:left="-720"/>
        <w:jc w:val="both"/>
        <w:rPr>
          <w:rFonts w:ascii="Arial" w:hAnsi="Arial" w:cs="Arial"/>
          <w:b/>
          <w:color w:val="FF00FF"/>
          <w:sz w:val="18"/>
          <w:szCs w:val="18"/>
        </w:rPr>
      </w:pPr>
    </w:p>
    <w:p w:rsidR="00850C39" w:rsidRDefault="00850C39" w:rsidP="00BD7F7C">
      <w:pPr>
        <w:tabs>
          <w:tab w:val="left" w:pos="5040"/>
        </w:tabs>
        <w:spacing w:before="40" w:after="40"/>
        <w:ind w:left="-720"/>
        <w:jc w:val="both"/>
        <w:rPr>
          <w:rFonts w:ascii="Arial" w:hAnsi="Arial" w:cs="Arial"/>
          <w:b/>
          <w:color w:val="FF00FF"/>
          <w:sz w:val="18"/>
          <w:szCs w:val="18"/>
        </w:rPr>
      </w:pPr>
    </w:p>
    <w:p w:rsidR="00BD7F7C" w:rsidRDefault="00BD7F7C" w:rsidP="00BD7F7C">
      <w:pPr>
        <w:tabs>
          <w:tab w:val="left" w:pos="5054"/>
        </w:tabs>
        <w:autoSpaceDE w:val="0"/>
        <w:autoSpaceDN w:val="0"/>
        <w:adjustRightInd w:val="0"/>
        <w:ind w:left="2700" w:right="-650"/>
        <w:jc w:val="both"/>
        <w:rPr>
          <w:rFonts w:ascii="Arial" w:hAnsi="Arial" w:cs="Arial"/>
          <w:color w:val="FF00FF"/>
          <w:sz w:val="20"/>
          <w:szCs w:val="20"/>
        </w:rPr>
      </w:pPr>
    </w:p>
    <w:p w:rsidR="00D91656" w:rsidRPr="007C5912" w:rsidRDefault="00D91656" w:rsidP="00D91656">
      <w:pPr>
        <w:spacing w:before="100" w:after="100"/>
        <w:ind w:left="-425"/>
        <w:jc w:val="both"/>
        <w:rPr>
          <w:rStyle w:val="tiartf"/>
          <w:sz w:val="16"/>
          <w:szCs w:val="16"/>
        </w:rPr>
      </w:pPr>
    </w:p>
    <w:p w:rsidR="00D91656" w:rsidRPr="007C5912" w:rsidRDefault="00D91656" w:rsidP="00D91656">
      <w:pPr>
        <w:tabs>
          <w:tab w:val="left" w:pos="720"/>
          <w:tab w:val="left" w:pos="3420"/>
          <w:tab w:val="left" w:pos="3780"/>
          <w:tab w:val="left" w:pos="6660"/>
          <w:tab w:val="left" w:pos="7020"/>
        </w:tabs>
        <w:spacing w:before="60" w:after="100"/>
        <w:ind w:right="-471"/>
        <w:jc w:val="both"/>
        <w:rPr>
          <w:rFonts w:ascii="Arial" w:hAnsi="Arial" w:cs="Arial"/>
          <w:sz w:val="16"/>
          <w:szCs w:val="16"/>
        </w:rPr>
      </w:pPr>
    </w:p>
    <w:tbl>
      <w:tblPr>
        <w:tblW w:w="10782" w:type="dxa"/>
        <w:tblInd w:w="-6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366"/>
        <w:gridCol w:w="895"/>
        <w:gridCol w:w="895"/>
        <w:gridCol w:w="1058"/>
        <w:gridCol w:w="1090"/>
        <w:gridCol w:w="1478"/>
      </w:tblGrid>
      <w:tr w:rsidR="00D91656" w:rsidRPr="007C5912" w:rsidTr="00407694">
        <w:trPr>
          <w:trHeight w:val="406"/>
        </w:trPr>
        <w:tc>
          <w:tcPr>
            <w:tcW w:w="5366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PRESTATIONS INCLUSES</w:t>
            </w:r>
          </w:p>
        </w:tc>
        <w:tc>
          <w:tcPr>
            <w:tcW w:w="895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SIMPLE</w:t>
            </w:r>
          </w:p>
        </w:tc>
        <w:tc>
          <w:tcPr>
            <w:tcW w:w="895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INITIAL</w:t>
            </w:r>
          </w:p>
        </w:tc>
        <w:tc>
          <w:tcPr>
            <w:tcW w:w="1058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PRIVILEGE</w:t>
            </w:r>
          </w:p>
        </w:tc>
        <w:tc>
          <w:tcPr>
            <w:tcW w:w="1090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TOUT-INCLUS</w:t>
            </w:r>
          </w:p>
        </w:tc>
        <w:tc>
          <w:tcPr>
            <w:tcW w:w="1478" w:type="dxa"/>
            <w:vMerge w:val="restart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Coût</w:t>
            </w: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br/>
              <w:t>hors forfait</w:t>
            </w:r>
          </w:p>
        </w:tc>
      </w:tr>
      <w:tr w:rsidR="00D91656" w:rsidRPr="007C5912" w:rsidTr="00407694">
        <w:trPr>
          <w:trHeight w:val="284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sz w:val="16"/>
                <w:szCs w:val="16"/>
              </w:rPr>
              <w:t>En % TTC de l’encaissement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BEAF87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BEAF87"/>
                <w:sz w:val="16"/>
                <w:szCs w:val="16"/>
              </w:rPr>
              <w:t>4 %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BEAF87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BEAF87"/>
                <w:sz w:val="16"/>
                <w:szCs w:val="16"/>
              </w:rPr>
              <w:t>7 %</w:t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BEAF87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BEAF87"/>
                <w:sz w:val="16"/>
                <w:szCs w:val="16"/>
              </w:rPr>
              <w:t>9 %</w:t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BEAF87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BEAF87"/>
                <w:sz w:val="16"/>
                <w:szCs w:val="16"/>
              </w:rPr>
              <w:t>14 %</w:t>
            </w:r>
          </w:p>
        </w:tc>
        <w:tc>
          <w:tcPr>
            <w:tcW w:w="1478" w:type="dxa"/>
            <w:vMerge/>
            <w:shd w:val="clear" w:color="auto" w:fill="FFCC66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340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Mise en place du mandat de gestion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425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Emission des avis de quittance, encaissement des loyers, charges et allocations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98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Délivrance des quittances et reçus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425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Lettre de rappel et 1</w:t>
            </w:r>
            <w:r w:rsidRPr="007C5912">
              <w:rPr>
                <w:rFonts w:ascii="Arial" w:hAnsi="Arial"/>
                <w:sz w:val="16"/>
                <w:szCs w:val="16"/>
                <w:vertAlign w:val="superscript"/>
              </w:rPr>
              <w:t>ère</w:t>
            </w:r>
            <w:r w:rsidRPr="007C5912">
              <w:rPr>
                <w:rFonts w:ascii="Arial" w:hAnsi="Arial"/>
                <w:sz w:val="16"/>
                <w:szCs w:val="16"/>
              </w:rPr>
              <w:t xml:space="preserve"> relance par lettre recommandée et recouvrement amiable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Révision des loyers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367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Acceptation et contrôle de validité du congé (du locataire)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56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Décompte lors du départ du locataire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340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Gestion des provisions pour charges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800000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28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Tenue de la comptabilité propriétaire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340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Acompte mensuel des fonds perçus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56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Reddition trimestrielle des comptes (art. 66 du décret du 20/07/72)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340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Déclaration de départ du locataire auprès de la perception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Assurance risques locatifs : demande annuelle de l’attestation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340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Demande de devis pour travaux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A235C0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228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Réparations urgentes ou inférieures à 150 € TTC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1656" w:rsidRPr="007C5912" w:rsidTr="00407694">
        <w:trPr>
          <w:trHeight w:val="428"/>
        </w:trPr>
        <w:tc>
          <w:tcPr>
            <w:tcW w:w="5366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PRESTATIONS OPTIONNELLES</w:t>
            </w:r>
          </w:p>
        </w:tc>
        <w:tc>
          <w:tcPr>
            <w:tcW w:w="895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SIMPLE</w:t>
            </w:r>
          </w:p>
        </w:tc>
        <w:tc>
          <w:tcPr>
            <w:tcW w:w="895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INITIAL</w:t>
            </w:r>
          </w:p>
        </w:tc>
        <w:tc>
          <w:tcPr>
            <w:tcW w:w="1058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PRIVILEGE</w:t>
            </w:r>
          </w:p>
        </w:tc>
        <w:tc>
          <w:tcPr>
            <w:tcW w:w="1090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Service</w:t>
            </w:r>
          </w:p>
          <w:p w:rsidR="00D91656" w:rsidRPr="007C5912" w:rsidRDefault="00D91656" w:rsidP="00407694">
            <w:pPr>
              <w:ind w:right="54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TOUT-INCLUS</w:t>
            </w:r>
          </w:p>
        </w:tc>
        <w:tc>
          <w:tcPr>
            <w:tcW w:w="1478" w:type="dxa"/>
            <w:shd w:val="clear" w:color="auto" w:fill="BEAF87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FFFFFF"/>
                <w:sz w:val="16"/>
                <w:szCs w:val="16"/>
              </w:rPr>
            </w:pP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t>Coût</w:t>
            </w:r>
            <w:r w:rsidRPr="007C5912">
              <w:rPr>
                <w:rFonts w:ascii="Arial Narrow" w:hAnsi="Arial Narrow"/>
                <w:b/>
                <w:color w:val="FFFFFF"/>
                <w:sz w:val="16"/>
                <w:szCs w:val="16"/>
              </w:rPr>
              <w:br/>
              <w:t>hors forfait</w:t>
            </w:r>
          </w:p>
        </w:tc>
      </w:tr>
      <w:tr w:rsidR="00D91656" w:rsidRPr="007C5912" w:rsidTr="00407694">
        <w:trPr>
          <w:trHeight w:val="454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Etablissement et envoi des éléments pour la déclaration des revenus fonciers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80 € TTC</w:t>
            </w:r>
            <w:r w:rsidRPr="007C5912">
              <w:rPr>
                <w:rFonts w:ascii="Arial" w:hAnsi="Arial"/>
                <w:sz w:val="16"/>
                <w:szCs w:val="16"/>
              </w:rPr>
              <w:br/>
              <w:t>par an et par lot</w:t>
            </w:r>
          </w:p>
        </w:tc>
      </w:tr>
      <w:tr w:rsidR="00D91656" w:rsidRPr="007C5912" w:rsidTr="00407694">
        <w:trPr>
          <w:trHeight w:val="606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Recouvrement des créances, remise du dossier à huissier pour commandement de payer, procédure d’expulsion (frais d’huissier et d’avocat à la charge du propriétaire)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100 € TTC</w:t>
            </w:r>
            <w:r w:rsidRPr="007C5912">
              <w:rPr>
                <w:rFonts w:ascii="Arial" w:hAnsi="Arial"/>
                <w:sz w:val="16"/>
                <w:szCs w:val="16"/>
              </w:rPr>
              <w:br/>
              <w:t>par dossier</w:t>
            </w:r>
          </w:p>
        </w:tc>
      </w:tr>
      <w:tr w:rsidR="00D91656" w:rsidRPr="007C5912" w:rsidTr="00407694">
        <w:trPr>
          <w:trHeight w:val="737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Gestion des sinistres : déclaration, représentation du propriétaire en expertise, établissement des devis et suivi des travaux, encaissement des indemnités et reversement après contrôle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250 € TTC</w:t>
            </w:r>
            <w:r w:rsidRPr="007C5912">
              <w:rPr>
                <w:rFonts w:ascii="Arial" w:hAnsi="Arial"/>
                <w:sz w:val="16"/>
                <w:szCs w:val="16"/>
              </w:rPr>
              <w:br/>
              <w:t>par dossier</w:t>
            </w:r>
          </w:p>
        </w:tc>
      </w:tr>
      <w:tr w:rsidR="00D91656" w:rsidRPr="007C5912" w:rsidTr="00407694">
        <w:trPr>
          <w:trHeight w:val="563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Gestion technique d’entretien courant (inférieur à 1 500 € TTC) : devis si nécessaire, demande d’accord au propriétaire, ordre d’intervention, suivi et contrôle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150 € TTC</w:t>
            </w:r>
            <w:r w:rsidRPr="007C5912">
              <w:rPr>
                <w:rFonts w:ascii="Arial" w:hAnsi="Arial"/>
                <w:sz w:val="16"/>
                <w:szCs w:val="16"/>
              </w:rPr>
              <w:br/>
              <w:t>par dossier</w:t>
            </w:r>
          </w:p>
        </w:tc>
      </w:tr>
      <w:tr w:rsidR="00D91656" w:rsidRPr="007C5912" w:rsidTr="00407694">
        <w:trPr>
          <w:trHeight w:val="395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Gestion technique de tous travaux : vérification annuelle du logement, proposition de travaux, démarches administratives, dossier de crédit, ordre d’intervention, suivi et contrôle des travaux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4 % TTC du montant des travaux TTC</w:t>
            </w: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Accompagnement pour la réception de logement neuf, suivi des travaux, levée des réserves, et garantie de parfait achèvement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100 € TTC</w:t>
            </w:r>
          </w:p>
        </w:tc>
      </w:tr>
      <w:tr w:rsidR="00D91656" w:rsidRPr="007C5912" w:rsidTr="00407694">
        <w:trPr>
          <w:trHeight w:val="395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Montage d’un dossier ANAH, rendez-vous auprès des services administratifs et obtention des fonds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-7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€ TTC</w:t>
            </w: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Conseil et expertise pour prestations exceptionnelles (taux horaire)</w:t>
            </w:r>
          </w:p>
        </w:tc>
        <w:tc>
          <w:tcPr>
            <w:tcW w:w="8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-7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150 € TTC</w:t>
            </w:r>
          </w:p>
        </w:tc>
      </w:tr>
      <w:tr w:rsidR="00D91656" w:rsidRPr="007C5912" w:rsidTr="00407694">
        <w:trPr>
          <w:trHeight w:val="395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Visite Conseil (pré état des lieux de sortie)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292743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  <w:bookmarkStart w:id="1" w:name="_GoBack"/>
            <w:bookmarkEnd w:id="1"/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-7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€ TTC</w:t>
            </w: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Honoraires de visite, de constitution du dossier locataire et rédaction du bail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292743" w:rsidP="00407694">
            <w:pPr>
              <w:ind w:right="-7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D91656" w:rsidRPr="007C5912">
              <w:rPr>
                <w:rFonts w:ascii="Arial" w:hAnsi="Arial"/>
                <w:sz w:val="16"/>
                <w:szCs w:val="16"/>
              </w:rPr>
              <w:t>0 €</w:t>
            </w:r>
            <w:r>
              <w:rPr>
                <w:rFonts w:ascii="Arial" w:hAnsi="Arial"/>
                <w:sz w:val="16"/>
                <w:szCs w:val="16"/>
              </w:rPr>
              <w:t>/m²</w:t>
            </w:r>
            <w:r w:rsidR="00D91656" w:rsidRPr="007C5912">
              <w:rPr>
                <w:rFonts w:ascii="Arial" w:hAnsi="Arial"/>
                <w:sz w:val="16"/>
                <w:szCs w:val="16"/>
              </w:rPr>
              <w:t xml:space="preserve"> TTC</w:t>
            </w: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t>Honoraires de réalisation des états des lieux</w:t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895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58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sz w:val="16"/>
                <w:szCs w:val="16"/>
              </w:rPr>
              <w:sym w:font="Wingdings" w:char="F06D"/>
            </w:r>
          </w:p>
        </w:tc>
        <w:tc>
          <w:tcPr>
            <w:tcW w:w="1090" w:type="dxa"/>
            <w:shd w:val="clear" w:color="auto" w:fill="EBE7DB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  <w:r w:rsidRPr="007C5912">
              <w:rPr>
                <w:rFonts w:ascii="Arial" w:hAnsi="Arial"/>
                <w:color w:val="BEAF87"/>
                <w:sz w:val="16"/>
                <w:szCs w:val="16"/>
              </w:rPr>
              <w:sym w:font="Wingdings" w:char="F06C"/>
            </w:r>
          </w:p>
        </w:tc>
        <w:tc>
          <w:tcPr>
            <w:tcW w:w="1478" w:type="dxa"/>
            <w:shd w:val="clear" w:color="auto" w:fill="EBE7DB"/>
            <w:vAlign w:val="center"/>
          </w:tcPr>
          <w:p w:rsidR="00D91656" w:rsidRPr="007C5912" w:rsidRDefault="00292743" w:rsidP="00292743">
            <w:pPr>
              <w:ind w:right="-7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D91656" w:rsidRPr="007C5912">
              <w:rPr>
                <w:rFonts w:ascii="Arial" w:hAnsi="Arial"/>
                <w:sz w:val="16"/>
                <w:szCs w:val="16"/>
              </w:rPr>
              <w:t xml:space="preserve"> €</w:t>
            </w:r>
            <w:r>
              <w:rPr>
                <w:rFonts w:ascii="Arial" w:hAnsi="Arial"/>
                <w:sz w:val="16"/>
                <w:szCs w:val="16"/>
              </w:rPr>
              <w:t>/m²</w:t>
            </w:r>
            <w:r w:rsidR="00D91656" w:rsidRPr="007C5912">
              <w:rPr>
                <w:rFonts w:ascii="Arial" w:hAnsi="Arial"/>
                <w:sz w:val="16"/>
                <w:szCs w:val="16"/>
              </w:rPr>
              <w:t xml:space="preserve"> TTC</w:t>
            </w:r>
          </w:p>
        </w:tc>
      </w:tr>
      <w:tr w:rsidR="00D91656" w:rsidRPr="007C5912" w:rsidTr="00407694">
        <w:trPr>
          <w:trHeight w:val="242"/>
        </w:trPr>
        <w:tc>
          <w:tcPr>
            <w:tcW w:w="5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54"/>
              <w:jc w:val="center"/>
              <w:rPr>
                <w:rFonts w:ascii="Arial" w:hAnsi="Arial"/>
                <w:color w:val="BEAF87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D91656" w:rsidRPr="007C5912" w:rsidRDefault="00D91656" w:rsidP="00407694">
            <w:pPr>
              <w:ind w:right="-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D7F7C" w:rsidRDefault="00D91656" w:rsidP="00D91656">
      <w:pPr>
        <w:tabs>
          <w:tab w:val="left" w:pos="4500"/>
        </w:tabs>
        <w:spacing w:before="40" w:after="120"/>
        <w:ind w:right="-471"/>
        <w:jc w:val="both"/>
        <w:rPr>
          <w:rFonts w:ascii="Arial" w:hAnsi="Arial" w:cs="Arial"/>
          <w:color w:val="FF00FF"/>
          <w:sz w:val="20"/>
          <w:szCs w:val="20"/>
        </w:rPr>
      </w:pPr>
      <w:r w:rsidRPr="007C5912">
        <w:rPr>
          <w:rFonts w:ascii="Arial" w:hAnsi="Arial"/>
          <w:color w:val="BEAF87"/>
          <w:sz w:val="16"/>
          <w:szCs w:val="16"/>
        </w:rPr>
        <w:sym w:font="Wingdings" w:char="F06C"/>
      </w:r>
      <w:r w:rsidRPr="007C5912">
        <w:rPr>
          <w:rFonts w:ascii="Arial" w:hAnsi="Arial"/>
          <w:color w:val="BEAF87"/>
          <w:sz w:val="16"/>
          <w:szCs w:val="16"/>
        </w:rPr>
        <w:t xml:space="preserve"> Prestation comprise dans le montant des honoraires</w:t>
      </w:r>
      <w:r w:rsidRPr="007C5912">
        <w:rPr>
          <w:rFonts w:ascii="Arial" w:hAnsi="Arial"/>
          <w:b/>
          <w:color w:val="800000"/>
          <w:sz w:val="16"/>
          <w:szCs w:val="16"/>
        </w:rPr>
        <w:t xml:space="preserve"> </w:t>
      </w:r>
      <w:r w:rsidRPr="007C5912">
        <w:rPr>
          <w:rFonts w:ascii="Arial" w:hAnsi="Arial"/>
          <w:b/>
          <w:color w:val="800000"/>
          <w:sz w:val="16"/>
          <w:szCs w:val="16"/>
        </w:rPr>
        <w:tab/>
      </w:r>
      <w:r w:rsidRPr="007C5912">
        <w:rPr>
          <w:rFonts w:ascii="Arial" w:hAnsi="Arial"/>
          <w:sz w:val="16"/>
          <w:szCs w:val="16"/>
        </w:rPr>
        <w:sym w:font="Wingdings" w:char="F06D"/>
      </w:r>
      <w:r w:rsidRPr="007C5912">
        <w:rPr>
          <w:rFonts w:ascii="Arial" w:hAnsi="Arial"/>
          <w:sz w:val="16"/>
          <w:szCs w:val="16"/>
        </w:rPr>
        <w:t xml:space="preserve"> Prestation optionnelle payable à l’acte</w:t>
      </w:r>
    </w:p>
    <w:p w:rsidR="00982DAD" w:rsidRDefault="00982DAD" w:rsidP="00BD7F7C">
      <w:pPr>
        <w:ind w:left="-993"/>
      </w:pPr>
    </w:p>
    <w:sectPr w:rsidR="00982DAD" w:rsidSect="00850C39">
      <w:pgSz w:w="11906" w:h="16838"/>
      <w:pgMar w:top="709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C"/>
    <w:rsid w:val="00292743"/>
    <w:rsid w:val="00850C39"/>
    <w:rsid w:val="00923EC0"/>
    <w:rsid w:val="00982DAD"/>
    <w:rsid w:val="00A235C0"/>
    <w:rsid w:val="00BD7F7C"/>
    <w:rsid w:val="00CD26C8"/>
    <w:rsid w:val="00D91656"/>
    <w:rsid w:val="00D96870"/>
    <w:rsid w:val="00F04227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8D56-B9E2-4DDA-90FE-5B8C306B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D7F7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D7F7C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7F7C"/>
    <w:rPr>
      <w:rFonts w:eastAsia="Times New Roman" w:cs="Times New Roman"/>
    </w:rPr>
  </w:style>
  <w:style w:type="character" w:styleId="Rfrenceintense">
    <w:name w:val="Intense Reference"/>
    <w:basedOn w:val="Policepardfaut"/>
    <w:uiPriority w:val="32"/>
    <w:qFormat/>
    <w:rsid w:val="00F90A13"/>
    <w:rPr>
      <w:b/>
      <w:bCs/>
      <w:smallCaps/>
      <w:color w:val="4472C4" w:themeColor="accent1"/>
      <w:spacing w:val="5"/>
    </w:rPr>
  </w:style>
  <w:style w:type="character" w:customStyle="1" w:styleId="texteel">
    <w:name w:val="texteel"/>
    <w:rsid w:val="00D91656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  <w:style w:type="character" w:customStyle="1" w:styleId="tiartf">
    <w:name w:val="tiartf"/>
    <w:rsid w:val="00D91656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C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7</dc:creator>
  <cp:keywords/>
  <dc:description/>
  <cp:lastModifiedBy>17403ST4</cp:lastModifiedBy>
  <cp:revision>7</cp:revision>
  <cp:lastPrinted>2019-09-18T08:20:00Z</cp:lastPrinted>
  <dcterms:created xsi:type="dcterms:W3CDTF">2018-11-28T15:04:00Z</dcterms:created>
  <dcterms:modified xsi:type="dcterms:W3CDTF">2019-09-18T08:32:00Z</dcterms:modified>
</cp:coreProperties>
</file>